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FAE5" w14:textId="77777777" w:rsidR="00230C04" w:rsidRDefault="00230C04" w:rsidP="00230C04">
      <w:pPr>
        <w:pStyle w:val="Heading2"/>
        <w:spacing w:line="276" w:lineRule="auto"/>
      </w:pPr>
      <w:bookmarkStart w:id="0" w:name="_Toc191045794"/>
      <w:r>
        <w:t>E7. Scholarship Policy</w:t>
      </w:r>
      <w:bookmarkEnd w:id="0"/>
      <w:r>
        <w:t xml:space="preserve"> </w:t>
      </w:r>
    </w:p>
    <w:p w14:paraId="5EA50126" w14:textId="77777777" w:rsidR="00230C04" w:rsidRDefault="00230C04" w:rsidP="00230C04">
      <w:pPr>
        <w:spacing w:line="276" w:lineRule="auto"/>
        <w:rPr>
          <w:rFonts w:asciiTheme="minorHAnsi" w:hAnsiTheme="minorHAnsi" w:cstheme="minorHAnsi"/>
          <w:szCs w:val="24"/>
          <w:lang w:val="en-US" w:eastAsia="en-NZ"/>
        </w:rPr>
      </w:pPr>
      <w:r w:rsidRPr="00473276">
        <w:rPr>
          <w:rFonts w:asciiTheme="minorHAnsi" w:hAnsiTheme="minorHAnsi" w:cstheme="minorHAnsi"/>
          <w:szCs w:val="24"/>
          <w:lang w:val="en-US" w:eastAsia="en-NZ"/>
        </w:rPr>
        <w:t>________________________________________________________</w:t>
      </w:r>
      <w:r>
        <w:rPr>
          <w:rFonts w:asciiTheme="minorHAnsi" w:hAnsiTheme="minorHAnsi" w:cstheme="minorHAnsi"/>
          <w:szCs w:val="24"/>
          <w:lang w:val="en-US" w:eastAsia="en-NZ"/>
        </w:rPr>
        <w:t>_______________________</w:t>
      </w:r>
    </w:p>
    <w:p w14:paraId="7B2A0676" w14:textId="77777777" w:rsidR="00230C04" w:rsidRPr="00473276" w:rsidRDefault="00230C04" w:rsidP="00230C04">
      <w:pPr>
        <w:spacing w:line="276" w:lineRule="auto"/>
        <w:rPr>
          <w:rFonts w:asciiTheme="minorHAnsi" w:hAnsiTheme="minorHAnsi" w:cstheme="minorHAnsi"/>
          <w:szCs w:val="24"/>
        </w:rPr>
      </w:pPr>
      <w:r w:rsidRPr="00473276">
        <w:rPr>
          <w:rFonts w:asciiTheme="minorHAnsi" w:hAnsiTheme="minorHAnsi" w:cstheme="minorHAnsi"/>
          <w:szCs w:val="24"/>
        </w:rPr>
        <w:t xml:space="preserve">  Date of Approval: 1</w:t>
      </w:r>
      <w:r>
        <w:rPr>
          <w:rFonts w:asciiTheme="minorHAnsi" w:hAnsiTheme="minorHAnsi" w:cstheme="minorHAnsi"/>
          <w:szCs w:val="24"/>
        </w:rPr>
        <w:t>2</w:t>
      </w:r>
      <w:r w:rsidRPr="00473276">
        <w:rPr>
          <w:rFonts w:asciiTheme="minorHAnsi" w:hAnsiTheme="minorHAnsi" w:cstheme="minorHAnsi"/>
          <w:szCs w:val="24"/>
        </w:rPr>
        <w:t xml:space="preserve"> September 20</w:t>
      </w:r>
      <w:r>
        <w:rPr>
          <w:rFonts w:asciiTheme="minorHAnsi" w:hAnsiTheme="minorHAnsi" w:cstheme="minorHAnsi"/>
          <w:szCs w:val="24"/>
        </w:rPr>
        <w:t>24</w:t>
      </w:r>
    </w:p>
    <w:p w14:paraId="1646E025" w14:textId="77777777" w:rsidR="00230C04" w:rsidRDefault="00230C04" w:rsidP="00230C04">
      <w:pPr>
        <w:spacing w:line="276" w:lineRule="auto"/>
        <w:rPr>
          <w:rFonts w:asciiTheme="minorHAnsi" w:hAnsiTheme="minorHAnsi" w:cstheme="minorHAnsi"/>
          <w:szCs w:val="24"/>
          <w:lang w:val="en-US" w:eastAsia="en-NZ"/>
        </w:rPr>
      </w:pPr>
      <w:r w:rsidRPr="00473276">
        <w:rPr>
          <w:rFonts w:asciiTheme="minorHAnsi" w:hAnsiTheme="minorHAnsi" w:cstheme="minorHAnsi"/>
          <w:szCs w:val="24"/>
          <w:lang w:val="en-US" w:eastAsia="en-NZ"/>
        </w:rPr>
        <w:t>______________________________________________________________</w:t>
      </w:r>
      <w:r>
        <w:rPr>
          <w:rFonts w:asciiTheme="minorHAnsi" w:hAnsiTheme="minorHAnsi" w:cstheme="minorHAnsi"/>
          <w:szCs w:val="24"/>
          <w:lang w:val="en-US" w:eastAsia="en-NZ"/>
        </w:rPr>
        <w:t>__________________</w:t>
      </w:r>
    </w:p>
    <w:p w14:paraId="3811A7E9" w14:textId="77777777" w:rsidR="00230C04" w:rsidRPr="00ED2036" w:rsidRDefault="00230C04" w:rsidP="00230C04">
      <w:pPr>
        <w:rPr>
          <w:b/>
          <w:bCs/>
          <w:u w:val="single"/>
          <w:lang w:eastAsia="en-NZ"/>
        </w:rPr>
      </w:pPr>
    </w:p>
    <w:tbl>
      <w:tblPr>
        <w:tblW w:w="9639" w:type="dxa"/>
        <w:tblInd w:w="12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230C04" w:rsidRPr="00ED7349" w14:paraId="3E238686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18635F87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Revision History and Policy Amendments</w:t>
            </w:r>
          </w:p>
        </w:tc>
        <w:tc>
          <w:tcPr>
            <w:tcW w:w="7796" w:type="dxa"/>
            <w:shd w:val="clear" w:color="auto" w:fill="auto"/>
          </w:tcPr>
          <w:p w14:paraId="37547544" w14:textId="77777777" w:rsidR="00230C04" w:rsidRPr="00E76C09" w:rsidRDefault="00230C04" w:rsidP="00284271">
            <w:pPr>
              <w:spacing w:after="120"/>
              <w:jc w:val="both"/>
              <w:rPr>
                <w:rFonts w:cstheme="minorHAnsi"/>
                <w:iCs/>
              </w:rPr>
            </w:pPr>
            <w:r w:rsidRPr="003A3EEE">
              <w:rPr>
                <w:rFonts w:cstheme="minorHAnsi"/>
              </w:rPr>
              <w:t>This policy may be revised at any time without prior notice. All revisions supersede prior policy and are effective immediately upon approva</w:t>
            </w:r>
            <w:r>
              <w:rPr>
                <w:rFonts w:cstheme="minorHAnsi"/>
              </w:rPr>
              <w:t>l.</w:t>
            </w:r>
          </w:p>
        </w:tc>
      </w:tr>
      <w:tr w:rsidR="00230C04" w:rsidRPr="00ED7349" w14:paraId="7C7B8FE0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73EC8DD4" w14:textId="77777777" w:rsidR="00230C04" w:rsidRDefault="00230C04" w:rsidP="00284271">
            <w:pPr>
              <w:rPr>
                <w:rStyle w:val="CommentReference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Purpose</w:t>
            </w:r>
          </w:p>
        </w:tc>
        <w:tc>
          <w:tcPr>
            <w:tcW w:w="7796" w:type="dxa"/>
            <w:shd w:val="clear" w:color="auto" w:fill="auto"/>
          </w:tcPr>
          <w:p w14:paraId="550A0556" w14:textId="77777777" w:rsidR="00230C04" w:rsidRPr="004241FB" w:rsidRDefault="00230C04" w:rsidP="00284271">
            <w:pPr>
              <w:spacing w:after="120"/>
              <w:jc w:val="both"/>
              <w:rPr>
                <w:rFonts w:cstheme="minorHAnsi"/>
                <w:iCs/>
              </w:rPr>
            </w:pPr>
            <w:r w:rsidRPr="00043513">
              <w:t xml:space="preserve">The purpose of the scholarship policy at the South Pacific College of Natural Medicine (SPCNM) is </w:t>
            </w:r>
            <w:r>
              <w:t xml:space="preserve">to outline the framework to ensure that scholarship funding is distributed in accordance with relevant regulations or scholarship donor criteria.  </w:t>
            </w:r>
          </w:p>
        </w:tc>
      </w:tr>
      <w:tr w:rsidR="00230C04" w:rsidRPr="00ED7349" w14:paraId="381EC57B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2B4B8A33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Application</w:t>
            </w:r>
          </w:p>
        </w:tc>
        <w:tc>
          <w:tcPr>
            <w:tcW w:w="7796" w:type="dxa"/>
            <w:shd w:val="clear" w:color="auto" w:fill="auto"/>
          </w:tcPr>
          <w:p w14:paraId="0C0189E4" w14:textId="77777777" w:rsidR="00230C04" w:rsidRPr="004241FB" w:rsidRDefault="00230C04" w:rsidP="00284271">
            <w:pPr>
              <w:spacing w:after="120"/>
              <w:jc w:val="both"/>
              <w:rPr>
                <w:rFonts w:cstheme="minorHAnsi"/>
                <w:iCs/>
              </w:rPr>
            </w:pPr>
            <w:r w:rsidRPr="004241FB">
              <w:rPr>
                <w:rFonts w:cstheme="minorHAnsi"/>
                <w:iCs/>
              </w:rPr>
              <w:t>Staff – finance, management and enrolment.</w:t>
            </w:r>
          </w:p>
          <w:p w14:paraId="3213AE9F" w14:textId="77777777" w:rsidR="00230C04" w:rsidRPr="004241FB" w:rsidRDefault="00230C04" w:rsidP="00284271">
            <w:pPr>
              <w:spacing w:after="120"/>
              <w:jc w:val="both"/>
              <w:rPr>
                <w:rFonts w:cstheme="minorHAnsi"/>
                <w:iCs/>
              </w:rPr>
            </w:pPr>
            <w:r w:rsidRPr="004241FB">
              <w:rPr>
                <w:rFonts w:cstheme="minorHAnsi"/>
                <w:iCs/>
              </w:rPr>
              <w:t xml:space="preserve">Board of Directors. </w:t>
            </w:r>
          </w:p>
        </w:tc>
      </w:tr>
      <w:tr w:rsidR="00230C04" w:rsidRPr="00ED7349" w14:paraId="1517D3F4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0F8AD09C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Principles</w:t>
            </w:r>
          </w:p>
        </w:tc>
        <w:tc>
          <w:tcPr>
            <w:tcW w:w="7796" w:type="dxa"/>
            <w:shd w:val="clear" w:color="auto" w:fill="auto"/>
          </w:tcPr>
          <w:p w14:paraId="5B71AABD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That SPCNM scholarships are distributed fairly and consistently.</w:t>
            </w:r>
          </w:p>
          <w:p w14:paraId="32B00C19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Applications for the scholarships are received, assessed and awarded by the Board of Directors.</w:t>
            </w:r>
          </w:p>
          <w:p w14:paraId="26CCE317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Applications for the scholarships are assessed according to the scholarship criteria.</w:t>
            </w:r>
          </w:p>
          <w:p w14:paraId="1D30B230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S</w:t>
            </w:r>
            <w:r w:rsidRPr="00043513">
              <w:t xml:space="preserve">cholarships aim to facilitate access to education </w:t>
            </w:r>
            <w:r>
              <w:t xml:space="preserve">and research at SPCNM. </w:t>
            </w:r>
          </w:p>
          <w:p w14:paraId="7030A431" w14:textId="4067EE20" w:rsidR="00230C04" w:rsidRPr="00043513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Applicants will be current students of SPCNM.</w:t>
            </w:r>
          </w:p>
        </w:tc>
      </w:tr>
      <w:tr w:rsidR="00230C04" w:rsidRPr="00ED7349" w14:paraId="3AB4E250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4E2AFDB3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Background</w:t>
            </w:r>
          </w:p>
        </w:tc>
        <w:tc>
          <w:tcPr>
            <w:tcW w:w="7796" w:type="dxa"/>
            <w:shd w:val="clear" w:color="auto" w:fill="auto"/>
          </w:tcPr>
          <w:p w14:paraId="62538F7F" w14:textId="77777777" w:rsidR="00230C04" w:rsidRPr="004241FB" w:rsidRDefault="00230C04" w:rsidP="00284271">
            <w:pPr>
              <w:spacing w:after="120"/>
              <w:jc w:val="both"/>
              <w:rPr>
                <w:rFonts w:cstheme="minorHAnsi"/>
                <w:iCs/>
              </w:rPr>
            </w:pPr>
            <w:r w:rsidRPr="004241FB">
              <w:rPr>
                <w:rFonts w:cstheme="minorHAnsi"/>
                <w:iCs/>
              </w:rPr>
              <w:t xml:space="preserve">This policy was developed following a bequest from an ex-staff member, Annette Huang in 2024 and to encompass any future scholarship monies. </w:t>
            </w:r>
          </w:p>
        </w:tc>
      </w:tr>
      <w:tr w:rsidR="00230C04" w:rsidRPr="00ED7349" w14:paraId="4F367893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485AF579" w14:textId="77777777" w:rsidR="00230C04" w:rsidRPr="00C64E1A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 w:rsidRPr="00C64E1A">
              <w:rPr>
                <w:rFonts w:cstheme="minorHAnsi"/>
                <w:b/>
                <w:bCs/>
                <w:iCs/>
                <w:szCs w:val="24"/>
              </w:rPr>
              <w:t>Definitions</w:t>
            </w:r>
          </w:p>
        </w:tc>
        <w:tc>
          <w:tcPr>
            <w:tcW w:w="7796" w:type="dxa"/>
            <w:shd w:val="clear" w:color="auto" w:fill="auto"/>
          </w:tcPr>
          <w:p w14:paraId="6487F7B3" w14:textId="77777777" w:rsidR="00230C04" w:rsidRPr="004241FB" w:rsidRDefault="00230C04" w:rsidP="00284271">
            <w:pPr>
              <w:spacing w:after="120"/>
              <w:jc w:val="both"/>
              <w:rPr>
                <w:rFonts w:cstheme="minorHAnsi"/>
                <w:iCs/>
                <w:strike/>
              </w:rPr>
            </w:pPr>
            <w:r w:rsidRPr="004241FB">
              <w:rPr>
                <w:rFonts w:cstheme="minorHAnsi"/>
                <w:b/>
                <w:bCs/>
                <w:iCs/>
              </w:rPr>
              <w:t>Scholarship</w:t>
            </w:r>
            <w:r w:rsidRPr="004241FB">
              <w:rPr>
                <w:rFonts w:cstheme="minorHAnsi"/>
                <w:iCs/>
              </w:rPr>
              <w:t xml:space="preserve"> refers to a financial award made to a student based on academic merit, equity, accommodation or other specified criteria.</w:t>
            </w:r>
          </w:p>
        </w:tc>
      </w:tr>
      <w:tr w:rsidR="00230C04" w:rsidRPr="00ED7349" w14:paraId="3065083A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77BC847A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Policy Consultation</w:t>
            </w:r>
          </w:p>
        </w:tc>
        <w:tc>
          <w:tcPr>
            <w:tcW w:w="7796" w:type="dxa"/>
            <w:shd w:val="clear" w:color="auto" w:fill="auto"/>
          </w:tcPr>
          <w:p w14:paraId="16333DCD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20"/>
              <w:ind w:left="456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Academic Board  </w:t>
            </w:r>
          </w:p>
          <w:p w14:paraId="46D69027" w14:textId="77777777" w:rsidR="00230C04" w:rsidRPr="00C879E8" w:rsidRDefault="00230C04" w:rsidP="00230C04">
            <w:pPr>
              <w:pStyle w:val="ListParagraph"/>
              <w:numPr>
                <w:ilvl w:val="0"/>
                <w:numId w:val="1"/>
              </w:numPr>
              <w:spacing w:after="120"/>
              <w:ind w:left="456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Board of Directors</w:t>
            </w:r>
          </w:p>
        </w:tc>
      </w:tr>
      <w:tr w:rsidR="00230C04" w:rsidRPr="00ED7349" w14:paraId="2A5F7E7C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2EF96DAA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>Key Relevant information</w:t>
            </w:r>
          </w:p>
        </w:tc>
        <w:tc>
          <w:tcPr>
            <w:tcW w:w="7796" w:type="dxa"/>
            <w:shd w:val="clear" w:color="auto" w:fill="auto"/>
          </w:tcPr>
          <w:p w14:paraId="31F0EF5F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/>
            </w:pPr>
            <w:r>
              <w:t>SPCNM Scholarship criteria</w:t>
            </w:r>
          </w:p>
          <w:p w14:paraId="031BD679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/>
            </w:pPr>
            <w:r>
              <w:t>Scholarship Application Process</w:t>
            </w:r>
          </w:p>
          <w:p w14:paraId="5DFF93F5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/>
            </w:pPr>
            <w:r>
              <w:t xml:space="preserve">TEC 2024 Funding Conditions – Section 5.5, defining scholarships and inducements  </w:t>
            </w:r>
          </w:p>
          <w:p w14:paraId="30DBFA18" w14:textId="77777777" w:rsidR="00230C04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/>
            </w:pPr>
            <w:r>
              <w:t>Education and Training Act 2020 – Section 645</w:t>
            </w:r>
          </w:p>
          <w:p w14:paraId="02163E45" w14:textId="77777777" w:rsidR="00230C04" w:rsidRPr="00C879E8" w:rsidRDefault="00230C04" w:rsidP="00230C0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/>
            </w:pPr>
            <w:r>
              <w:t>Income Tax Act 2007 – Tax exempt scholarships and bursaries – Section CW36</w:t>
            </w:r>
          </w:p>
        </w:tc>
      </w:tr>
      <w:tr w:rsidR="00230C04" w:rsidRPr="00ED7349" w14:paraId="62239DBE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2C843557" w14:textId="77777777" w:rsidR="00230C04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t xml:space="preserve">Selection and Administration of Scholarships </w:t>
            </w:r>
          </w:p>
        </w:tc>
        <w:tc>
          <w:tcPr>
            <w:tcW w:w="7796" w:type="dxa"/>
            <w:shd w:val="clear" w:color="auto" w:fill="auto"/>
          </w:tcPr>
          <w:p w14:paraId="7CB3B74A" w14:textId="77777777" w:rsidR="00230C04" w:rsidRDefault="00230C04" w:rsidP="00230C0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</w:pPr>
            <w:r>
              <w:t xml:space="preserve">Details of internal scholarships will be available on the SPCNM website including eligibility criteria, value of the scholarships, selection process, application forms and closing dates for applications. </w:t>
            </w:r>
          </w:p>
          <w:p w14:paraId="66FF105D" w14:textId="460A5CE3" w:rsidR="00230C04" w:rsidRPr="00230C04" w:rsidRDefault="00230C04" w:rsidP="00230C0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</w:pPr>
            <w:r w:rsidRPr="00DB11F5">
              <w:lastRenderedPageBreak/>
              <w:t>The decision of the selection panel is final and no correspondence will be entered into.</w:t>
            </w:r>
          </w:p>
        </w:tc>
      </w:tr>
      <w:tr w:rsidR="00230C04" w:rsidRPr="00ED7349" w14:paraId="02C25F9F" w14:textId="77777777" w:rsidTr="00284271">
        <w:trPr>
          <w:trHeight w:val="278"/>
        </w:trPr>
        <w:tc>
          <w:tcPr>
            <w:tcW w:w="1843" w:type="dxa"/>
            <w:shd w:val="clear" w:color="auto" w:fill="auto"/>
          </w:tcPr>
          <w:p w14:paraId="0B6779B0" w14:textId="77777777" w:rsidR="00230C04" w:rsidRPr="00C64E1A" w:rsidRDefault="00230C04" w:rsidP="00284271">
            <w:pPr>
              <w:rPr>
                <w:rFonts w:cstheme="minorHAnsi"/>
                <w:b/>
                <w:bCs/>
                <w:iCs/>
                <w:szCs w:val="24"/>
              </w:rPr>
            </w:pPr>
            <w:r>
              <w:rPr>
                <w:rFonts w:cstheme="minorHAnsi"/>
                <w:b/>
                <w:bCs/>
                <w:iCs/>
                <w:szCs w:val="24"/>
              </w:rPr>
              <w:lastRenderedPageBreak/>
              <w:t>Review</w:t>
            </w:r>
          </w:p>
        </w:tc>
        <w:tc>
          <w:tcPr>
            <w:tcW w:w="7796" w:type="dxa"/>
            <w:shd w:val="clear" w:color="auto" w:fill="auto"/>
          </w:tcPr>
          <w:p w14:paraId="1BB40B7D" w14:textId="77777777" w:rsidR="00230C04" w:rsidRDefault="00230C04" w:rsidP="00230C04">
            <w:pPr>
              <w:pStyle w:val="ListParagraph"/>
              <w:numPr>
                <w:ilvl w:val="0"/>
                <w:numId w:val="2"/>
              </w:numPr>
              <w:spacing w:after="120"/>
              <w:ind w:left="456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This policy will be reviewed every three years.</w:t>
            </w:r>
          </w:p>
          <w:p w14:paraId="652976E0" w14:textId="77777777" w:rsidR="00230C04" w:rsidRDefault="00230C04" w:rsidP="00230C04">
            <w:pPr>
              <w:pStyle w:val="ListParagraph"/>
              <w:numPr>
                <w:ilvl w:val="0"/>
                <w:numId w:val="2"/>
              </w:numPr>
              <w:spacing w:after="120"/>
              <w:ind w:left="456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The scholarship criteria and application process will also be reviewed annually.</w:t>
            </w:r>
          </w:p>
        </w:tc>
      </w:tr>
    </w:tbl>
    <w:p w14:paraId="6709C888" w14:textId="77777777" w:rsidR="00C11B33" w:rsidRDefault="00C11B33"/>
    <w:sectPr w:rsidR="00C11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22BF"/>
    <w:multiLevelType w:val="hybridMultilevel"/>
    <w:tmpl w:val="7214C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789E"/>
    <w:multiLevelType w:val="hybridMultilevel"/>
    <w:tmpl w:val="DB3E6C3A"/>
    <w:lvl w:ilvl="0" w:tplc="5CBE3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6A6E"/>
    <w:multiLevelType w:val="hybridMultilevel"/>
    <w:tmpl w:val="1F22D18C"/>
    <w:lvl w:ilvl="0" w:tplc="1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59667">
    <w:abstractNumId w:val="2"/>
  </w:num>
  <w:num w:numId="2" w16cid:durableId="1954556470">
    <w:abstractNumId w:val="1"/>
  </w:num>
  <w:num w:numId="3" w16cid:durableId="16182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04"/>
    <w:rsid w:val="00230C04"/>
    <w:rsid w:val="002477DD"/>
    <w:rsid w:val="006E391E"/>
    <w:rsid w:val="00781AE2"/>
    <w:rsid w:val="00C11B33"/>
    <w:rsid w:val="00D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31FD"/>
  <w15:chartTrackingRefBased/>
  <w15:docId w15:val="{0E0D7374-6ED8-4CD9-8086-0B29E3CD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0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3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3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C04"/>
    <w:rPr>
      <w:i/>
      <w:iCs/>
      <w:color w:val="404040" w:themeColor="text1" w:themeTint="BF"/>
    </w:rPr>
  </w:style>
  <w:style w:type="paragraph" w:styleId="ListParagraph">
    <w:name w:val="List Paragraph"/>
    <w:aliases w:val="Para - number,Rec para,Dot pt,F5 List Paragraph,List Paragraph1,List Paragraph Char Char Char,Indicator Text,Numbered Para 1,Colorful List - Accent 11,MAIN CONTENT,List Paragraph12,List Paragraph2,Normal numbered,OBC Bullet,L"/>
    <w:basedOn w:val="Normal"/>
    <w:link w:val="ListParagraphChar"/>
    <w:uiPriority w:val="34"/>
    <w:qFormat/>
    <w:rsid w:val="00230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C0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0C04"/>
    <w:rPr>
      <w:sz w:val="16"/>
      <w:szCs w:val="16"/>
    </w:rPr>
  </w:style>
  <w:style w:type="character" w:customStyle="1" w:styleId="ListParagraphChar">
    <w:name w:val="List Paragraph Char"/>
    <w:aliases w:val="Para - number Char,Rec para Char,Dot pt Char,F5 List Paragraph Char,List Paragraph1 Char,List Paragraph Char Char Char Char,Indicator Text Char,Numbered Para 1 Char,Colorful List - Accent 11 Char,MAIN CONTENT Char,OBC Bullet Char"/>
    <w:basedOn w:val="DefaultParagraphFont"/>
    <w:link w:val="ListParagraph"/>
    <w:uiPriority w:val="34"/>
    <w:locked/>
    <w:rsid w:val="0023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Carruthers</dc:creator>
  <cp:keywords/>
  <dc:description/>
  <cp:lastModifiedBy>Robyn Carruthers</cp:lastModifiedBy>
  <cp:revision>2</cp:revision>
  <dcterms:created xsi:type="dcterms:W3CDTF">2025-03-06T22:20:00Z</dcterms:created>
  <dcterms:modified xsi:type="dcterms:W3CDTF">2025-03-17T23:08:00Z</dcterms:modified>
</cp:coreProperties>
</file>